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Discovery Call Checklist</w:t>
      </w:r>
    </w:p>
    <w:p>
      <w:pPr>
        <w:pStyle w:val="Heading2"/>
      </w:pPr>
      <w:r>
        <w:t>Business Goals</w:t>
      </w:r>
    </w:p>
    <w:p>
      <w:r>
        <w:t>Clarify desired outcomes</w:t>
      </w:r>
    </w:p>
    <w:p>
      <w:pPr>
        <w:pStyle w:val="Heading2"/>
      </w:pPr>
      <w:r>
        <w:t>Current Constraints</w:t>
      </w:r>
    </w:p>
    <w:p>
      <w:r>
        <w:t>Identify bottlenecks</w:t>
      </w:r>
    </w:p>
    <w:p>
      <w:pPr>
        <w:pStyle w:val="Heading2"/>
      </w:pPr>
      <w:r>
        <w:t>Decision Drivers</w:t>
      </w:r>
    </w:p>
    <w:p>
      <w:r>
        <w:t>Understand priorities</w:t>
      </w:r>
    </w:p>
    <w:p>
      <w:pPr>
        <w:pStyle w:val="Heading2"/>
      </w:pPr>
      <w:r>
        <w:t>Budget Signals</w:t>
      </w:r>
    </w:p>
    <w:p>
      <w:r>
        <w:t>Assess investment comfort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